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DE" w:rsidRDefault="004658DE" w:rsidP="004658D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Intervention: </w:t>
      </w:r>
      <w:r>
        <w:rPr>
          <w:rFonts w:ascii="Comic Sans MS" w:hAnsi="Comic Sans MS"/>
          <w:b/>
          <w:sz w:val="32"/>
          <w:szCs w:val="32"/>
          <w:u w:val="single"/>
        </w:rPr>
        <w:t>Cover-Copy-Compare (CCC)</w:t>
      </w:r>
      <w:r w:rsidRPr="00873063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Tier: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2</w:t>
      </w:r>
    </w:p>
    <w:p w:rsidR="004658DE" w:rsidRPr="00D96B0E" w:rsidRDefault="004658DE" w:rsidP="004658DE">
      <w:pPr>
        <w:spacing w:after="0" w:line="240" w:lineRule="auto"/>
        <w:rPr>
          <w:rFonts w:ascii="Comic Sans MS" w:hAnsi="Comic Sans MS"/>
          <w:i/>
          <w:sz w:val="20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Age/Grades: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1</w:t>
      </w:r>
      <w:r w:rsidRPr="004658DE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 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Format: </w:t>
      </w:r>
      <w:r>
        <w:rPr>
          <w:rFonts w:ascii="Comic Sans MS" w:hAnsi="Comic Sans MS"/>
          <w:i/>
          <w:sz w:val="24"/>
          <w:szCs w:val="24"/>
        </w:rPr>
        <w:t>Check all that apply</w:t>
      </w:r>
    </w:p>
    <w:p w:rsidR="004658DE" w:rsidRDefault="004658DE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  <w:sectPr w:rsidR="004658DE" w:rsidSect="004C5EE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4658DE" w:rsidRDefault="004658DE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20793906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rFonts w:ascii="Comic Sans MS" w:hAnsi="Comic Sans MS"/>
          <w:sz w:val="24"/>
          <w:szCs w:val="24"/>
        </w:rPr>
        <w:t>Individual</w:t>
      </w:r>
    </w:p>
    <w:p w:rsidR="004658DE" w:rsidRDefault="004658DE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19365947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rFonts w:ascii="Comic Sans MS" w:hAnsi="Comic Sans MS"/>
          <w:sz w:val="24"/>
          <w:szCs w:val="24"/>
        </w:rPr>
        <w:t>Pairs</w:t>
      </w:r>
    </w:p>
    <w:p w:rsidR="004658DE" w:rsidRDefault="004658DE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-1215432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rFonts w:ascii="Comic Sans MS" w:hAnsi="Comic Sans MS"/>
          <w:sz w:val="24"/>
          <w:szCs w:val="24"/>
        </w:rPr>
        <w:t>Small group (3-5 students)</w:t>
      </w:r>
    </w:p>
    <w:p w:rsidR="004658DE" w:rsidRPr="00667AB7" w:rsidRDefault="004658DE" w:rsidP="004658DE">
      <w:pPr>
        <w:tabs>
          <w:tab w:val="left" w:pos="765"/>
        </w:tabs>
        <w:spacing w:after="0" w:line="240" w:lineRule="auto"/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24"/>
            <w:szCs w:val="24"/>
          </w:rPr>
          <w:id w:val="35354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omic Sans MS" w:hAnsi="Comic Sans MS"/>
          <w:sz w:val="24"/>
          <w:szCs w:val="24"/>
        </w:rPr>
        <w:t xml:space="preserve"> Whole Class (becomes Tier 1)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  <w:sectPr w:rsidR="004658DE" w:rsidSect="004C5E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658DE" w:rsidRPr="00667AB7" w:rsidRDefault="004658DE" w:rsidP="004658D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Materials:</w:t>
      </w:r>
    </w:p>
    <w:p w:rsid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CCC Math Worksheets w/10-15 problems listed on the left side of paper</w:t>
      </w:r>
    </w:p>
    <w:p w:rsidR="004658DE" w:rsidRDefault="004658DE" w:rsidP="004658DE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Worksheets can be made at </w:t>
      </w:r>
      <w:hyperlink r:id="rId5" w:history="1">
        <w:r w:rsidRPr="00CC448B">
          <w:rPr>
            <w:rStyle w:val="Hyperlink"/>
            <w:rFonts w:ascii="Comic Sans MS" w:hAnsi="Comic Sans MS"/>
            <w:sz w:val="24"/>
            <w:szCs w:val="24"/>
          </w:rPr>
          <w:t>www.interventioncentral.com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1-3 worksheets per student, unless 20-30 problems listed on worksheet</w:t>
      </w:r>
    </w:p>
    <w:p w:rsid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Index Cards</w:t>
      </w:r>
    </w:p>
    <w:p w:rsidR="004658DE" w:rsidRPr="004658DE" w:rsidRDefault="004658DE" w:rsidP="004658D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Timing device 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Frequency/Duration: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3-5 times per week for 15</w:t>
      </w:r>
      <w:r>
        <w:rPr>
          <w:rFonts w:ascii="Comic Sans MS" w:hAnsi="Comic Sans MS"/>
          <w:sz w:val="24"/>
          <w:szCs w:val="24"/>
        </w:rPr>
        <w:t xml:space="preserve"> minutes per session </w:t>
      </w:r>
      <w:r>
        <w:rPr>
          <w:rFonts w:ascii="Comic Sans MS" w:hAnsi="Comic Sans MS"/>
          <w:sz w:val="24"/>
          <w:szCs w:val="24"/>
        </w:rPr>
        <w:t>(5 minutes per worksheet)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Progress Monitoring Tool:</w:t>
      </w:r>
      <w:r w:rsidRPr="00667AB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MCOMP</w:t>
      </w:r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AIMSweb</w:t>
      </w:r>
      <w:proofErr w:type="spellEnd"/>
      <w:r>
        <w:rPr>
          <w:rFonts w:ascii="Comic Sans MS" w:hAnsi="Comic Sans MS"/>
          <w:sz w:val="24"/>
          <w:szCs w:val="24"/>
        </w:rPr>
        <w:t xml:space="preserve">)  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67AB7">
        <w:rPr>
          <w:rFonts w:ascii="Comic Sans MS" w:hAnsi="Comic Sans MS"/>
          <w:b/>
          <w:sz w:val="24"/>
          <w:szCs w:val="24"/>
        </w:rPr>
        <w:t>Steps:</w:t>
      </w:r>
    </w:p>
    <w:p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worksheet to student and say, “</w:t>
      </w:r>
      <w:r>
        <w:rPr>
          <w:rFonts w:ascii="Comic Sans MS" w:hAnsi="Comic Sans MS"/>
          <w:i/>
          <w:sz w:val="24"/>
          <w:szCs w:val="24"/>
        </w:rPr>
        <w:t xml:space="preserve">Look at the math problems on this page. We are going to work on math problems and then compare your answers to the correct answer. This activity is called Cover-Copy-Compare.” </w:t>
      </w:r>
    </w:p>
    <w:p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Say the first problem out loud to the student. For example, if the problem is 2+4=6, say: “</w:t>
      </w:r>
      <w:r>
        <w:rPr>
          <w:rFonts w:ascii="Comic Sans MS" w:hAnsi="Comic Sans MS"/>
          <w:i/>
          <w:sz w:val="24"/>
          <w:szCs w:val="24"/>
        </w:rPr>
        <w:t xml:space="preserve">This problem shows that 2 plus 4 equals 6.” </w:t>
      </w:r>
    </w:p>
    <w:p w:rsid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Say to the student: “</w:t>
      </w:r>
      <w:r>
        <w:rPr>
          <w:rFonts w:ascii="Comic Sans MS" w:hAnsi="Comic Sans MS"/>
          <w:i/>
          <w:sz w:val="24"/>
          <w:szCs w:val="24"/>
        </w:rPr>
        <w:t xml:space="preserve">Watch while I do one.” </w:t>
      </w:r>
      <w:r>
        <w:rPr>
          <w:rFonts w:ascii="Comic Sans MS" w:hAnsi="Comic Sans MS"/>
          <w:sz w:val="24"/>
          <w:szCs w:val="24"/>
        </w:rPr>
        <w:t xml:space="preserve">Place index card over the correct answer and write the answer in the blank space provided. </w:t>
      </w:r>
    </w:p>
    <w:p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Say to student, </w:t>
      </w:r>
      <w:r>
        <w:rPr>
          <w:rFonts w:ascii="Comic Sans MS" w:hAnsi="Comic Sans MS"/>
          <w:i/>
          <w:sz w:val="24"/>
          <w:szCs w:val="24"/>
        </w:rPr>
        <w:t xml:space="preserve">“I wrote ________ here because it is the answer to the problem ______.” Now I will remove the index card and check my answer. I can see that my answer is correct. </w:t>
      </w:r>
    </w:p>
    <w:p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Say to student, “</w:t>
      </w:r>
      <w:r>
        <w:rPr>
          <w:rFonts w:ascii="Comic Sans MS" w:hAnsi="Comic Sans MS"/>
          <w:i/>
          <w:sz w:val="24"/>
          <w:szCs w:val="24"/>
        </w:rPr>
        <w:t xml:space="preserve">Now it is your turn to try one.” </w:t>
      </w:r>
      <w:r>
        <w:rPr>
          <w:rFonts w:ascii="Comic Sans MS" w:hAnsi="Comic Sans MS"/>
          <w:sz w:val="24"/>
          <w:szCs w:val="24"/>
        </w:rPr>
        <w:t>Point to next problem and say, “</w:t>
      </w:r>
      <w:r>
        <w:rPr>
          <w:rFonts w:ascii="Comic Sans MS" w:hAnsi="Comic Sans MS"/>
          <w:i/>
          <w:sz w:val="24"/>
          <w:szCs w:val="24"/>
        </w:rPr>
        <w:t xml:space="preserve">Read this problem out loud to me.” </w:t>
      </w:r>
      <w:r>
        <w:rPr>
          <w:rFonts w:ascii="Comic Sans MS" w:hAnsi="Comic Sans MS"/>
          <w:sz w:val="24"/>
          <w:szCs w:val="24"/>
        </w:rPr>
        <w:t>After student reads problem, say: “</w:t>
      </w:r>
      <w:r>
        <w:rPr>
          <w:rFonts w:ascii="Comic Sans MS" w:hAnsi="Comic Sans MS"/>
          <w:i/>
          <w:sz w:val="24"/>
          <w:szCs w:val="24"/>
        </w:rPr>
        <w:t xml:space="preserve">Now cover the problem with the index card and write the correct answer in the space.” </w:t>
      </w:r>
    </w:p>
    <w:p w:rsidR="00DB27B8" w:rsidRP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After student has written an answer, say “</w:t>
      </w:r>
      <w:r>
        <w:rPr>
          <w:rFonts w:ascii="Comic Sans MS" w:hAnsi="Comic Sans MS"/>
          <w:i/>
          <w:sz w:val="24"/>
          <w:szCs w:val="24"/>
        </w:rPr>
        <w:t xml:space="preserve">Remove the index card and check your answer.” </w:t>
      </w:r>
    </w:p>
    <w:p w:rsidR="00DB27B8" w:rsidRPr="00DB27B8" w:rsidRDefault="00DB27B8" w:rsidP="00DB27B8">
      <w:pPr>
        <w:pStyle w:val="ListParagraph"/>
        <w:numPr>
          <w:ilvl w:val="1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student’s answer was correct, say “</w:t>
      </w:r>
      <w:r>
        <w:rPr>
          <w:rFonts w:ascii="Comic Sans MS" w:hAnsi="Comic Sans MS"/>
          <w:i/>
          <w:sz w:val="24"/>
          <w:szCs w:val="24"/>
        </w:rPr>
        <w:t>Good. Now you will do the rest of the problems on the page.”</w:t>
      </w:r>
    </w:p>
    <w:p w:rsidR="00DB27B8" w:rsidRDefault="00DB27B8" w:rsidP="00DB27B8">
      <w:pPr>
        <w:pStyle w:val="ListParagraph"/>
        <w:numPr>
          <w:ilvl w:val="1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student’s answer was wrong, say “</w:t>
      </w:r>
      <w:r>
        <w:rPr>
          <w:rFonts w:ascii="Comic Sans MS" w:hAnsi="Comic Sans MS"/>
          <w:i/>
          <w:sz w:val="24"/>
          <w:szCs w:val="24"/>
        </w:rPr>
        <w:t xml:space="preserve">That answer is incorrect. The correct answer is ___ because (read number sentence) __ equals ___. Let’s try another one.” </w:t>
      </w:r>
    </w:p>
    <w:p w:rsidR="00DB27B8" w:rsidRDefault="00DB27B8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Repeat steps 1-6 until all problems are finished on worksheets </w:t>
      </w:r>
    </w:p>
    <w:p w:rsidR="004658DE" w:rsidRPr="006825F9" w:rsidRDefault="004658DE" w:rsidP="004658D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Monitor progress weekly with </w:t>
      </w:r>
      <w:r w:rsidR="00DB27B8">
        <w:rPr>
          <w:rFonts w:ascii="Comic Sans MS" w:hAnsi="Comic Sans MS"/>
          <w:sz w:val="24"/>
          <w:szCs w:val="24"/>
        </w:rPr>
        <w:t>MCOMP</w:t>
      </w:r>
      <w:r>
        <w:rPr>
          <w:rFonts w:ascii="Comic Sans MS" w:hAnsi="Comic Sans MS"/>
          <w:sz w:val="24"/>
          <w:szCs w:val="24"/>
        </w:rPr>
        <w:t xml:space="preserve"> probe</w:t>
      </w:r>
    </w:p>
    <w:p w:rsidR="004658DE" w:rsidRDefault="004658DE" w:rsidP="004658D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658DE" w:rsidRDefault="004658DE" w:rsidP="004658DE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</w:p>
    <w:p w:rsidR="004658DE" w:rsidRDefault="004658DE" w:rsidP="004658DE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  <w:r w:rsidRPr="00667AB7">
        <w:rPr>
          <w:rFonts w:ascii="Comic Sans MS" w:hAnsi="Comic Sans MS"/>
          <w:b/>
          <w:sz w:val="20"/>
          <w:szCs w:val="24"/>
        </w:rPr>
        <w:t xml:space="preserve">References: </w:t>
      </w: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Conley, C.M., Derby, K.M., Roberts-Gwinn, M., </w:t>
      </w:r>
      <w:proofErr w:type="spellStart"/>
      <w:r w:rsidRPr="004658DE">
        <w:rPr>
          <w:rFonts w:ascii="Comic Sans MS" w:hAnsi="Comic Sans MS"/>
          <w:sz w:val="20"/>
          <w:szCs w:val="20"/>
        </w:rPr>
        <w:t>Weberr</w:t>
      </w:r>
      <w:proofErr w:type="spellEnd"/>
      <w:r w:rsidRPr="004658DE">
        <w:rPr>
          <w:rFonts w:ascii="Comic Sans MS" w:hAnsi="Comic Sans MS"/>
          <w:sz w:val="20"/>
          <w:szCs w:val="20"/>
        </w:rPr>
        <w:t xml:space="preserve">, K. P., &amp; McLaughlin, T.F. (2004). An analysis of initial acquisition and maintenance of sight words following picture matching and copy, cover, and compare teaching methods. </w:t>
      </w:r>
      <w:r w:rsidRPr="004658DE">
        <w:rPr>
          <w:rFonts w:ascii="Comic Sans MS" w:hAnsi="Comic Sans MS"/>
          <w:i/>
          <w:sz w:val="20"/>
          <w:szCs w:val="20"/>
        </w:rPr>
        <w:t xml:space="preserve">Journal of Applied Behavior Analysis, 37, </w:t>
      </w:r>
      <w:r w:rsidRPr="004658DE">
        <w:rPr>
          <w:rFonts w:ascii="Comic Sans MS" w:hAnsi="Comic Sans MS"/>
          <w:sz w:val="20"/>
          <w:szCs w:val="20"/>
        </w:rPr>
        <w:t xml:space="preserve">339-350. Copyright 2004 by the Society for the Experimental Analysis of Behavior. Adapted by permission. </w:t>
      </w: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b/>
          <w:sz w:val="20"/>
          <w:szCs w:val="24"/>
        </w:rPr>
      </w:pP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Lee, M.J., &amp; </w:t>
      </w:r>
      <w:proofErr w:type="spellStart"/>
      <w:r w:rsidRPr="004658DE">
        <w:rPr>
          <w:rFonts w:ascii="Comic Sans MS" w:hAnsi="Comic Sans MS"/>
          <w:sz w:val="20"/>
          <w:szCs w:val="20"/>
        </w:rPr>
        <w:t>Tingstrom</w:t>
      </w:r>
      <w:proofErr w:type="spellEnd"/>
      <w:r w:rsidRPr="004658DE">
        <w:rPr>
          <w:rFonts w:ascii="Comic Sans MS" w:hAnsi="Comic Sans MS"/>
          <w:sz w:val="20"/>
          <w:szCs w:val="20"/>
        </w:rPr>
        <w:t xml:space="preserve">, D.H. (1994). A group math intervention: The modification of cover, copy, and compare for group application. </w:t>
      </w:r>
      <w:r w:rsidRPr="004658DE">
        <w:rPr>
          <w:rFonts w:ascii="Comic Sans MS" w:hAnsi="Comic Sans MS"/>
          <w:sz w:val="20"/>
          <w:szCs w:val="20"/>
          <w:u w:val="single"/>
        </w:rPr>
        <w:t>Psychology in the Schools, 31</w:t>
      </w:r>
      <w:r w:rsidRPr="004658DE">
        <w:rPr>
          <w:rFonts w:ascii="Comic Sans MS" w:hAnsi="Comic Sans MS"/>
          <w:sz w:val="20"/>
          <w:szCs w:val="20"/>
        </w:rPr>
        <w:t>, 133-145.</w:t>
      </w:r>
    </w:p>
    <w:p w:rsidR="004658DE" w:rsidRPr="004658DE" w:rsidRDefault="004658DE" w:rsidP="004658D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proofErr w:type="spellStart"/>
      <w:r w:rsidRPr="004658DE">
        <w:rPr>
          <w:rFonts w:ascii="Comic Sans MS" w:eastAsia="Times New Roman" w:hAnsi="Comic Sans MS" w:cs="Times New Roman"/>
          <w:sz w:val="20"/>
          <w:szCs w:val="20"/>
        </w:rPr>
        <w:t>Rathvon</w:t>
      </w:r>
      <w:proofErr w:type="spellEnd"/>
      <w:r w:rsidRPr="004658DE">
        <w:rPr>
          <w:rFonts w:ascii="Comic Sans MS" w:eastAsia="Times New Roman" w:hAnsi="Comic Sans MS" w:cs="Times New Roman"/>
          <w:sz w:val="20"/>
          <w:szCs w:val="20"/>
        </w:rPr>
        <w:t xml:space="preserve">, N. (2008). </w:t>
      </w:r>
      <w:r w:rsidRPr="004658DE">
        <w:rPr>
          <w:rFonts w:ascii="Comic Sans MS" w:eastAsia="Times New Roman" w:hAnsi="Comic Sans MS" w:cs="Times New Roman"/>
          <w:i/>
          <w:iCs/>
          <w:sz w:val="20"/>
          <w:szCs w:val="20"/>
        </w:rPr>
        <w:t>Effective school interventions: Evidence-based strategies for improving student outcomes</w:t>
      </w:r>
      <w:r w:rsidRPr="004658DE">
        <w:rPr>
          <w:rFonts w:ascii="Comic Sans MS" w:eastAsia="Times New Roman" w:hAnsi="Comic Sans MS" w:cs="Times New Roman"/>
          <w:sz w:val="20"/>
          <w:szCs w:val="20"/>
        </w:rPr>
        <w:t>. New York: Guilford Press.</w:t>
      </w: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4658DE">
        <w:rPr>
          <w:rFonts w:ascii="Comic Sans MS" w:hAnsi="Comic Sans MS"/>
          <w:sz w:val="20"/>
          <w:szCs w:val="20"/>
        </w:rPr>
        <w:t>RtI</w:t>
      </w:r>
      <w:proofErr w:type="spellEnd"/>
      <w:r w:rsidRPr="004658DE">
        <w:rPr>
          <w:rFonts w:ascii="Comic Sans MS" w:hAnsi="Comic Sans MS"/>
          <w:sz w:val="20"/>
          <w:szCs w:val="20"/>
        </w:rPr>
        <w:t xml:space="preserve"> in the Classroom: Guidelines and Recipes for Success by Rachel Brown-</w:t>
      </w:r>
      <w:proofErr w:type="spellStart"/>
      <w:r w:rsidRPr="004658DE">
        <w:rPr>
          <w:rFonts w:ascii="Comic Sans MS" w:hAnsi="Comic Sans MS"/>
          <w:sz w:val="20"/>
          <w:szCs w:val="20"/>
        </w:rPr>
        <w:t>Chidsey</w:t>
      </w:r>
      <w:proofErr w:type="spellEnd"/>
      <w:r w:rsidRPr="004658DE">
        <w:rPr>
          <w:rFonts w:ascii="Comic Sans MS" w:hAnsi="Comic Sans MS"/>
          <w:sz w:val="20"/>
          <w:szCs w:val="20"/>
        </w:rPr>
        <w:t xml:space="preserve">, Louise </w:t>
      </w:r>
      <w:proofErr w:type="spellStart"/>
      <w:r w:rsidRPr="004658DE">
        <w:rPr>
          <w:rFonts w:ascii="Comic Sans MS" w:hAnsi="Comic Sans MS"/>
          <w:sz w:val="20"/>
          <w:szCs w:val="20"/>
        </w:rPr>
        <w:t>Bronaugh</w:t>
      </w:r>
      <w:proofErr w:type="spellEnd"/>
      <w:r w:rsidRPr="004658DE">
        <w:rPr>
          <w:rFonts w:ascii="Comic Sans MS" w:hAnsi="Comic Sans MS"/>
          <w:sz w:val="20"/>
          <w:szCs w:val="20"/>
        </w:rPr>
        <w:t>, Kelly McGraw</w:t>
      </w:r>
    </w:p>
    <w:p w:rsidR="004658DE" w:rsidRPr="004658DE" w:rsidRDefault="004658DE" w:rsidP="004658D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4658DE">
        <w:rPr>
          <w:rFonts w:ascii="Comic Sans MS" w:hAnsi="Comic Sans MS"/>
          <w:sz w:val="20"/>
          <w:szCs w:val="20"/>
        </w:rPr>
        <w:t>Sharpiro</w:t>
      </w:r>
      <w:proofErr w:type="spellEnd"/>
      <w:r w:rsidRPr="004658DE">
        <w:rPr>
          <w:rFonts w:ascii="Comic Sans MS" w:hAnsi="Comic Sans MS"/>
          <w:sz w:val="20"/>
          <w:szCs w:val="20"/>
        </w:rPr>
        <w:t xml:space="preserve"> (2004)</w:t>
      </w: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Skinner, C. H., McLaughlin, T. F., &amp; Logan, P. (1997). Cover, Copy, and Compare: A self-managed academic intervention effective across skills, students, and settings. </w:t>
      </w:r>
      <w:r w:rsidRPr="004658DE">
        <w:rPr>
          <w:rFonts w:ascii="Comic Sans MS" w:hAnsi="Comic Sans MS"/>
          <w:i/>
          <w:sz w:val="20"/>
          <w:szCs w:val="20"/>
        </w:rPr>
        <w:t xml:space="preserve">Journal of Behavioral Education, 7, </w:t>
      </w:r>
      <w:r w:rsidRPr="004658DE">
        <w:rPr>
          <w:rFonts w:ascii="Comic Sans MS" w:hAnsi="Comic Sans MS"/>
          <w:sz w:val="20"/>
          <w:szCs w:val="20"/>
        </w:rPr>
        <w:t xml:space="preserve">295-306. Copyright 1997 by Springer Science and Business Media. Adapted by permission. </w:t>
      </w: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8DE">
        <w:rPr>
          <w:rFonts w:ascii="Comic Sans MS" w:hAnsi="Comic Sans MS"/>
          <w:sz w:val="20"/>
          <w:szCs w:val="20"/>
        </w:rPr>
        <w:t xml:space="preserve">Skinner, C.H., Turco, T.L., Beatty, K.L., &amp; </w:t>
      </w:r>
      <w:proofErr w:type="spellStart"/>
      <w:r w:rsidRPr="004658DE">
        <w:rPr>
          <w:rFonts w:ascii="Comic Sans MS" w:hAnsi="Comic Sans MS"/>
          <w:sz w:val="20"/>
          <w:szCs w:val="20"/>
        </w:rPr>
        <w:t>Rasavage</w:t>
      </w:r>
      <w:proofErr w:type="spellEnd"/>
      <w:r w:rsidRPr="004658DE">
        <w:rPr>
          <w:rFonts w:ascii="Comic Sans MS" w:hAnsi="Comic Sans MS"/>
          <w:sz w:val="20"/>
          <w:szCs w:val="20"/>
        </w:rPr>
        <w:t xml:space="preserve">, C. (1989). Cover, copy, and compare: A method for increasing multiplication performance. </w:t>
      </w:r>
      <w:r w:rsidRPr="004658DE">
        <w:rPr>
          <w:rFonts w:ascii="Comic Sans MS" w:hAnsi="Comic Sans MS"/>
          <w:sz w:val="20"/>
          <w:szCs w:val="20"/>
          <w:u w:val="single"/>
        </w:rPr>
        <w:t>School Psychology Review, 18</w:t>
      </w:r>
      <w:r w:rsidRPr="004658DE">
        <w:rPr>
          <w:rFonts w:ascii="Comic Sans MS" w:hAnsi="Comic Sans MS"/>
          <w:sz w:val="20"/>
          <w:szCs w:val="20"/>
        </w:rPr>
        <w:t>, 412-420.</w:t>
      </w:r>
    </w:p>
    <w:p w:rsidR="004658DE" w:rsidRPr="004658DE" w:rsidRDefault="004658DE" w:rsidP="004658D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658DE" w:rsidRPr="004658DE" w:rsidRDefault="004658DE" w:rsidP="004658D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proofErr w:type="spellStart"/>
      <w:r w:rsidRPr="004658DE">
        <w:rPr>
          <w:rFonts w:ascii="Comic Sans MS" w:eastAsia="Times New Roman" w:hAnsi="Comic Sans MS" w:cs="Times New Roman"/>
          <w:sz w:val="20"/>
          <w:szCs w:val="20"/>
        </w:rPr>
        <w:t>Wendling</w:t>
      </w:r>
      <w:proofErr w:type="spellEnd"/>
      <w:r w:rsidRPr="004658DE">
        <w:rPr>
          <w:rFonts w:ascii="Comic Sans MS" w:eastAsia="Times New Roman" w:hAnsi="Comic Sans MS" w:cs="Times New Roman"/>
          <w:sz w:val="20"/>
          <w:szCs w:val="20"/>
        </w:rPr>
        <w:t xml:space="preserve">, B. J., &amp; Mather, N. (2009). </w:t>
      </w:r>
      <w:r w:rsidRPr="004658DE">
        <w:rPr>
          <w:rFonts w:ascii="Comic Sans MS" w:eastAsia="Times New Roman" w:hAnsi="Comic Sans MS" w:cs="Times New Roman"/>
          <w:i/>
          <w:iCs/>
          <w:sz w:val="20"/>
          <w:szCs w:val="20"/>
        </w:rPr>
        <w:t>Essentials of evidence-based academic interventions</w:t>
      </w:r>
      <w:r w:rsidRPr="004658DE">
        <w:rPr>
          <w:rFonts w:ascii="Comic Sans MS" w:eastAsia="Times New Roman" w:hAnsi="Comic Sans MS" w:cs="Times New Roman"/>
          <w:sz w:val="20"/>
          <w:szCs w:val="20"/>
        </w:rPr>
        <w:t xml:space="preserve">. Hoboken, NJ: John Wiley &amp; Sons.  </w:t>
      </w:r>
    </w:p>
    <w:p w:rsidR="004658DE" w:rsidRPr="009E5033" w:rsidRDefault="004658DE" w:rsidP="004658DE">
      <w:pPr>
        <w:pStyle w:val="ListParagraph"/>
        <w:spacing w:after="0" w:line="240" w:lineRule="auto"/>
        <w:ind w:left="360"/>
        <w:rPr>
          <w:rFonts w:asciiTheme="majorHAnsi" w:eastAsia="Times New Roman" w:hAnsiTheme="majorHAnsi" w:cs="Times New Roman"/>
          <w:color w:val="FF0000"/>
          <w:sz w:val="20"/>
          <w:szCs w:val="20"/>
        </w:rPr>
      </w:pPr>
    </w:p>
    <w:p w:rsidR="004658DE" w:rsidRDefault="004658DE" w:rsidP="004658D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0515">
        <w:rPr>
          <w:rFonts w:ascii="Comic Sans MS" w:eastAsia="Times New Roman" w:hAnsi="Comic Sans MS" w:cs="Times New Roman"/>
          <w:sz w:val="20"/>
          <w:szCs w:val="20"/>
        </w:rPr>
        <w:br w:type="page"/>
      </w:r>
    </w:p>
    <w:p w:rsidR="004658DE" w:rsidRDefault="004658DE" w:rsidP="004658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Fidelity Checklist</w:t>
      </w:r>
    </w:p>
    <w:p w:rsidR="004658DE" w:rsidRDefault="004658DE" w:rsidP="004658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58DE" w:rsidRPr="00E45BF0" w:rsidRDefault="004658DE" w:rsidP="004658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  <w:r w:rsidRPr="008B7970">
        <w:rPr>
          <w:rFonts w:ascii="Times New Roman" w:hAnsi="Times New Roman" w:cs="Times New Roman"/>
        </w:rPr>
        <w:t>Date: _________________   Person Delivering Intervention: ____________________________</w:t>
      </w:r>
    </w:p>
    <w:p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</w:p>
    <w:p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  <w:r w:rsidRPr="008B7970">
        <w:rPr>
          <w:rFonts w:ascii="Times New Roman" w:hAnsi="Times New Roman" w:cs="Times New Roman"/>
        </w:rPr>
        <w:t xml:space="preserve">Start </w:t>
      </w:r>
      <w:proofErr w:type="spellStart"/>
      <w:r w:rsidRPr="008B7970">
        <w:rPr>
          <w:rFonts w:ascii="Times New Roman" w:hAnsi="Times New Roman" w:cs="Times New Roman"/>
        </w:rPr>
        <w:t>Time</w:t>
      </w:r>
      <w:proofErr w:type="gramStart"/>
      <w:r w:rsidRPr="008B7970">
        <w:rPr>
          <w:rFonts w:ascii="Times New Roman" w:hAnsi="Times New Roman" w:cs="Times New Roman"/>
        </w:rPr>
        <w:t>:_</w:t>
      </w:r>
      <w:proofErr w:type="gramEnd"/>
      <w:r w:rsidRPr="008B7970">
        <w:rPr>
          <w:rFonts w:ascii="Times New Roman" w:hAnsi="Times New Roman" w:cs="Times New Roman"/>
        </w:rPr>
        <w:t>_____End</w:t>
      </w:r>
      <w:proofErr w:type="spellEnd"/>
      <w:r w:rsidRPr="008B7970">
        <w:rPr>
          <w:rFonts w:ascii="Times New Roman" w:hAnsi="Times New Roman" w:cs="Times New Roman"/>
        </w:rPr>
        <w:t xml:space="preserve"> Time:________ Name of Student: _______________________________</w:t>
      </w:r>
    </w:p>
    <w:p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</w:p>
    <w:p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  <w:r w:rsidRPr="008B7970">
        <w:rPr>
          <w:rFonts w:ascii="Times New Roman" w:hAnsi="Times New Roman" w:cs="Times New Roman"/>
        </w:rPr>
        <w:t>Administrator Observing: ________________________________________________________</w:t>
      </w:r>
    </w:p>
    <w:p w:rsidR="004658DE" w:rsidRPr="008B7970" w:rsidRDefault="004658DE" w:rsidP="004658DE">
      <w:pPr>
        <w:spacing w:after="0" w:line="240" w:lineRule="auto"/>
        <w:rPr>
          <w:rFonts w:ascii="Times New Roman" w:hAnsi="Times New Roman" w:cs="Times New Roman"/>
        </w:rPr>
      </w:pPr>
    </w:p>
    <w:p w:rsidR="004658DE" w:rsidRPr="0057395B" w:rsidRDefault="004658DE" w:rsidP="004658DE">
      <w:pPr>
        <w:pStyle w:val="Header"/>
        <w:rPr>
          <w:rFonts w:ascii="Times New Roman" w:hAnsi="Times New Roman" w:cs="Times New Roman"/>
          <w:sz w:val="24"/>
          <w:szCs w:val="20"/>
        </w:rPr>
      </w:pPr>
      <w:r w:rsidRPr="0057395B">
        <w:rPr>
          <w:rFonts w:ascii="Times New Roman" w:hAnsi="Times New Roman" w:cs="Times New Roman"/>
          <w:b/>
          <w:sz w:val="24"/>
          <w:szCs w:val="20"/>
        </w:rPr>
        <w:t xml:space="preserve">Intervention: </w:t>
      </w:r>
      <w:r>
        <w:rPr>
          <w:rFonts w:ascii="Times New Roman" w:hAnsi="Times New Roman" w:cs="Times New Roman"/>
          <w:b/>
          <w:sz w:val="24"/>
          <w:szCs w:val="20"/>
        </w:rPr>
        <w:t>Cover, Copy, Compare</w:t>
      </w:r>
      <w:r w:rsidRPr="0057395B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4658DE" w:rsidRPr="0057395B" w:rsidTr="000456CE">
        <w:tc>
          <w:tcPr>
            <w:tcW w:w="9350" w:type="dxa"/>
          </w:tcPr>
          <w:p w:rsidR="004658DE" w:rsidRPr="0057395B" w:rsidRDefault="004658DE" w:rsidP="000456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39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Directions: </w:t>
            </w:r>
            <w:r w:rsidRPr="0057395B">
              <w:rPr>
                <w:rFonts w:ascii="Times New Roman" w:hAnsi="Times New Roman" w:cs="Times New Roman"/>
                <w:sz w:val="24"/>
                <w:szCs w:val="20"/>
              </w:rPr>
              <w:t>During the intervention observation, place an “X” in the “yes” column if the step is completed/observed. Place an “X” in the “no” column if the step was not observed. Tally the number of “Yes” marks and calculate the integrity of each part and the overall integrity.</w:t>
            </w:r>
          </w:p>
          <w:p w:rsidR="004658DE" w:rsidRPr="0057395B" w:rsidRDefault="004658DE" w:rsidP="000456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658DE" w:rsidRPr="0057395B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395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Note: </w:t>
            </w:r>
            <w:r w:rsidRPr="0057395B">
              <w:rPr>
                <w:rFonts w:ascii="Times New Roman" w:hAnsi="Times New Roman" w:cs="Times New Roman"/>
                <w:i/>
                <w:sz w:val="24"/>
                <w:szCs w:val="20"/>
              </w:rPr>
              <w:t>If the step is not applicable place an “N/A” in the “Yes” column.  Do not calculate this in the integrity formula.</w:t>
            </w:r>
          </w:p>
        </w:tc>
      </w:tr>
    </w:tbl>
    <w:p w:rsidR="004658DE" w:rsidRDefault="004658DE" w:rsidP="004658DE">
      <w:pPr>
        <w:pStyle w:val="ListParagraph"/>
        <w:ind w:left="0"/>
        <w:rPr>
          <w:rFonts w:ascii="Times New Roman" w:hAnsi="Times New Roman" w:cs="Times New Roman"/>
          <w:b/>
          <w:sz w:val="24"/>
          <w:szCs w:val="20"/>
        </w:rPr>
      </w:pPr>
    </w:p>
    <w:p w:rsidR="004658DE" w:rsidRPr="004C5EED" w:rsidRDefault="004658DE" w:rsidP="004658D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5EED">
        <w:rPr>
          <w:rFonts w:ascii="Times New Roman" w:hAnsi="Times New Roman" w:cs="Times New Roman"/>
          <w:b/>
          <w:sz w:val="24"/>
          <w:szCs w:val="24"/>
        </w:rPr>
        <w:t>Part 1: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1"/>
        <w:gridCol w:w="590"/>
        <w:gridCol w:w="539"/>
      </w:tblGrid>
      <w:tr w:rsidR="004658DE" w:rsidRPr="004C5EED" w:rsidTr="000456CE">
        <w:tc>
          <w:tcPr>
            <w:tcW w:w="9809" w:type="dxa"/>
          </w:tcPr>
          <w:p w:rsidR="004658DE" w:rsidRPr="004C5EED" w:rsidRDefault="004658DE" w:rsidP="000456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559" w:type="dxa"/>
          </w:tcPr>
          <w:p w:rsidR="004658DE" w:rsidRPr="004C5EED" w:rsidRDefault="004658DE" w:rsidP="000456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:rsidR="004658DE" w:rsidRPr="004C5EED" w:rsidRDefault="004658DE" w:rsidP="000456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658DE" w:rsidRPr="004C5EED" w:rsidTr="000456CE">
        <w:tc>
          <w:tcPr>
            <w:tcW w:w="9809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Math worksheet (computation problems with answers on the left of the sheet and space on the left side of the sheet to write the problem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 xml:space="preserve">); 1-3 worksheets per student w/10-15 problems or 1 worksheet with 20-30 problems </w:t>
            </w:r>
          </w:p>
        </w:tc>
        <w:tc>
          <w:tcPr>
            <w:tcW w:w="559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8DE" w:rsidRPr="004C5EED" w:rsidTr="000456CE">
        <w:tc>
          <w:tcPr>
            <w:tcW w:w="9809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Index Card</w:t>
            </w:r>
          </w:p>
        </w:tc>
        <w:tc>
          <w:tcPr>
            <w:tcW w:w="559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8DE" w:rsidRPr="004C5EED" w:rsidTr="000456CE">
        <w:tc>
          <w:tcPr>
            <w:tcW w:w="9809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Timing Device</w:t>
            </w:r>
          </w:p>
        </w:tc>
        <w:tc>
          <w:tcPr>
            <w:tcW w:w="559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8DE" w:rsidRPr="004C5EED" w:rsidRDefault="004658DE" w:rsidP="004658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5EED">
        <w:rPr>
          <w:rFonts w:ascii="Times New Roman" w:hAnsi="Times New Roman" w:cs="Times New Roman"/>
          <w:b/>
          <w:sz w:val="24"/>
          <w:szCs w:val="24"/>
        </w:rPr>
        <w:t xml:space="preserve">Part 2: Intervention </w:t>
      </w:r>
      <w:r w:rsidRPr="004C5E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8862"/>
        <w:gridCol w:w="630"/>
        <w:gridCol w:w="540"/>
      </w:tblGrid>
      <w:tr w:rsidR="004C5EED" w:rsidRPr="004C5EED" w:rsidTr="004C5EED"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8862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Checklist</w:t>
            </w:r>
          </w:p>
        </w:tc>
        <w:tc>
          <w:tcPr>
            <w:tcW w:w="630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C5EED" w:rsidRPr="004C5EED" w:rsidTr="004C5EED">
        <w:trPr>
          <w:trHeight w:val="548"/>
        </w:trPr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62" w:type="dxa"/>
          </w:tcPr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Give worksheet to student and say,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Look at the math problems on this page. We are going to work on math problems and then compare your answers to the correct answer. This activity is called Cover-Copy-Compare.” </w:t>
            </w:r>
          </w:p>
          <w:p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rPr>
          <w:trHeight w:val="512"/>
        </w:trPr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2" w:type="dxa"/>
          </w:tcPr>
          <w:p w:rsidR="004658DE" w:rsidRPr="004C5EED" w:rsidRDefault="004C5EED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Say the first problem out loud to the student. For example, if the problem is 2+4=6, say: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>This problem shows that 2 plus 4 equals 6.”</w:t>
            </w: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62" w:type="dxa"/>
          </w:tcPr>
          <w:p w:rsidR="004658DE" w:rsidRPr="004C5EED" w:rsidRDefault="004C5EED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Say to the student: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Watch while I do one.” 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Place index card over the correct answer and write the answer in the blank space provided.</w:t>
            </w: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62" w:type="dxa"/>
          </w:tcPr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 xml:space="preserve">Say to student, 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“I wrote ________ here because it is the answer to the problem ______.” Now I will remove the index card and check my answer. I can see that my answer is correct. </w:t>
            </w:r>
          </w:p>
          <w:p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62" w:type="dxa"/>
          </w:tcPr>
          <w:p w:rsidR="004658DE" w:rsidRPr="004C5EED" w:rsidRDefault="004C5EED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Say to student,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Now it is your turn to try one.” 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Point to next problem and say,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Read this problem out loud to me.” </w:t>
            </w: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After student reads problem, say: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>Now cover the problem with the index card and write the correct answer in the space.”</w:t>
            </w: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62" w:type="dxa"/>
          </w:tcPr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After student has written an answer, say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Remove the index card and check your answer.” </w:t>
            </w:r>
          </w:p>
          <w:p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C5EED" w:rsidRPr="004C5EED" w:rsidRDefault="004C5EED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8862" w:type="dxa"/>
          </w:tcPr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If the student’s answer was correct, say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>Good. Now you will do the rest of the problems on the page.”</w:t>
            </w:r>
          </w:p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C5EED" w:rsidRPr="004C5EED" w:rsidRDefault="004C5EED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8862" w:type="dxa"/>
          </w:tcPr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If the student’s answer was wrong, say “</w:t>
            </w:r>
            <w:r w:rsidRPr="004C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That answer is incorrect. The correct answer is ___ because (read number sentence) __ equals ___. Let’s try another one.” </w:t>
            </w:r>
          </w:p>
          <w:p w:rsidR="004C5EED" w:rsidRPr="004C5EED" w:rsidRDefault="004C5EED" w:rsidP="004C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C5EED" w:rsidRPr="004C5EED" w:rsidRDefault="004C5EED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EED" w:rsidRPr="004C5EED" w:rsidTr="004C5EED">
        <w:tc>
          <w:tcPr>
            <w:tcW w:w="763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62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 xml:space="preserve">Repeat steps 1-6 until student finishes all problems on the worksheet </w:t>
            </w:r>
          </w:p>
        </w:tc>
        <w:tc>
          <w:tcPr>
            <w:tcW w:w="63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8DE" w:rsidRPr="004C5EED" w:rsidRDefault="004658DE" w:rsidP="004658DE">
      <w:pPr>
        <w:rPr>
          <w:rFonts w:ascii="Times New Roman" w:hAnsi="Times New Roman" w:cs="Times New Roman"/>
          <w:b/>
          <w:sz w:val="24"/>
          <w:szCs w:val="24"/>
        </w:rPr>
      </w:pPr>
    </w:p>
    <w:p w:rsidR="004658DE" w:rsidRPr="004C5EED" w:rsidRDefault="004658DE" w:rsidP="004658DE">
      <w:pPr>
        <w:rPr>
          <w:rFonts w:ascii="Times New Roman" w:hAnsi="Times New Roman" w:cs="Times New Roman"/>
          <w:b/>
          <w:sz w:val="24"/>
          <w:szCs w:val="24"/>
        </w:rPr>
      </w:pPr>
      <w:r w:rsidRPr="004C5EED">
        <w:rPr>
          <w:rFonts w:ascii="Times New Roman" w:hAnsi="Times New Roman" w:cs="Times New Roman"/>
          <w:b/>
          <w:sz w:val="24"/>
          <w:szCs w:val="24"/>
        </w:rPr>
        <w:t>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1440"/>
        <w:gridCol w:w="1710"/>
        <w:gridCol w:w="1080"/>
      </w:tblGrid>
      <w:tr w:rsidR="004658DE" w:rsidRPr="004C5EED" w:rsidTr="000456CE">
        <w:tc>
          <w:tcPr>
            <w:tcW w:w="1278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</w:p>
        </w:tc>
        <w:tc>
          <w:tcPr>
            <w:tcW w:w="1440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# of Yes</w:t>
            </w:r>
          </w:p>
        </w:tc>
        <w:tc>
          <w:tcPr>
            <w:tcW w:w="1710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Total # Possible</w:t>
            </w:r>
          </w:p>
        </w:tc>
        <w:tc>
          <w:tcPr>
            <w:tcW w:w="1080" w:type="dxa"/>
          </w:tcPr>
          <w:p w:rsidR="004658DE" w:rsidRPr="004C5EED" w:rsidRDefault="004658DE" w:rsidP="0004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58DE" w:rsidRPr="004C5EED" w:rsidTr="000456CE">
        <w:tc>
          <w:tcPr>
            <w:tcW w:w="1278" w:type="dxa"/>
            <w:shd w:val="clear" w:color="auto" w:fill="D9D9D9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b/>
                <w:sz w:val="24"/>
                <w:szCs w:val="24"/>
              </w:rPr>
              <w:t>Overall Integrity</w:t>
            </w:r>
          </w:p>
        </w:tc>
        <w:tc>
          <w:tcPr>
            <w:tcW w:w="144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58DE" w:rsidRPr="004C5EED" w:rsidRDefault="004C5EED" w:rsidP="000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658DE" w:rsidRPr="004C5EED" w:rsidRDefault="004658DE" w:rsidP="000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8DE" w:rsidRDefault="004658DE" w:rsidP="004658DE"/>
    <w:p w:rsidR="004658DE" w:rsidRDefault="004658DE" w:rsidP="004658DE"/>
    <w:p w:rsidR="005313B1" w:rsidRDefault="004C5EED"/>
    <w:sectPr w:rsidR="005313B1" w:rsidSect="004C5E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800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A94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1344"/>
    <w:multiLevelType w:val="hybridMultilevel"/>
    <w:tmpl w:val="4AD2B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E3BDA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57D4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54C0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65826"/>
    <w:multiLevelType w:val="hybridMultilevel"/>
    <w:tmpl w:val="B84C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3A0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95668"/>
    <w:multiLevelType w:val="hybridMultilevel"/>
    <w:tmpl w:val="C016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E"/>
    <w:rsid w:val="004658DE"/>
    <w:rsid w:val="004C5EED"/>
    <w:rsid w:val="006928E5"/>
    <w:rsid w:val="00A84D21"/>
    <w:rsid w:val="00D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3F07-AD47-415A-9898-8447CC0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5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DE"/>
  </w:style>
  <w:style w:type="character" w:styleId="Hyperlink">
    <w:name w:val="Hyperlink"/>
    <w:basedOn w:val="DefaultParagraphFont"/>
    <w:uiPriority w:val="99"/>
    <w:unhideWhenUsed/>
    <w:rsid w:val="00465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ventioncent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Deanna Dimick</cp:lastModifiedBy>
  <cp:revision>1</cp:revision>
  <dcterms:created xsi:type="dcterms:W3CDTF">2016-08-08T20:36:00Z</dcterms:created>
  <dcterms:modified xsi:type="dcterms:W3CDTF">2016-08-08T21:00:00Z</dcterms:modified>
</cp:coreProperties>
</file>